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C6" w:rsidRPr="006141CE" w:rsidRDefault="00051EC6" w:rsidP="00CF2A4C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141CE">
        <w:rPr>
          <w:rFonts w:ascii="方正小标宋简体" w:eastAsia="方正小标宋简体" w:hAnsi="方正小标宋简体" w:cs="方正小标宋简体" w:hint="eastAsia"/>
          <w:sz w:val="44"/>
          <w:szCs w:val="44"/>
        </w:rPr>
        <w:t>浙江省事业单位、国有企业、百强企业组团赴</w:t>
      </w:r>
      <w:r w:rsidRPr="00A47C7E">
        <w:rPr>
          <w:rFonts w:ascii="方正小标宋简体" w:eastAsia="方正小标宋简体" w:hAnsi="方正小标宋简体" w:cs="方正小标宋简体" w:hint="eastAsia"/>
          <w:sz w:val="44"/>
          <w:szCs w:val="44"/>
        </w:rPr>
        <w:t>蓉</w:t>
      </w:r>
      <w:r w:rsidRPr="006141CE">
        <w:rPr>
          <w:rFonts w:ascii="方正小标宋简体" w:eastAsia="方正小标宋简体" w:hAnsi="方正小标宋简体" w:cs="方正小标宋简体" w:hint="eastAsia"/>
          <w:sz w:val="44"/>
          <w:szCs w:val="44"/>
        </w:rPr>
        <w:t>邀您来“浙”里！</w:t>
      </w:r>
    </w:p>
    <w:p w:rsidR="00051EC6" w:rsidRDefault="00051EC6" w:rsidP="00EB1F53">
      <w:pPr>
        <w:jc w:val="left"/>
        <w:rPr>
          <w:rFonts w:ascii="仿宋_GB2312" w:eastAsia="仿宋_GB2312" w:hAnsi="仿宋_GB2312" w:cs="仿宋_GB2312"/>
          <w:b/>
          <w:sz w:val="28"/>
        </w:rPr>
      </w:pPr>
    </w:p>
    <w:p w:rsidR="00051EC6" w:rsidRDefault="00051EC6">
      <w:pPr>
        <w:jc w:val="center"/>
        <w:rPr>
          <w:rFonts w:ascii="仿宋_GB2312" w:eastAsia="仿宋_GB2312" w:hAnsi="仿宋_GB2312" w:cs="仿宋_GB2312"/>
          <w:b/>
          <w:sz w:val="28"/>
        </w:rPr>
      </w:pPr>
      <w:r>
        <w:rPr>
          <w:rFonts w:ascii="仿宋_GB2312" w:eastAsia="仿宋_GB2312" w:hAnsi="仿宋_GB2312" w:cs="仿宋_GB2312" w:hint="eastAsia"/>
          <w:b/>
          <w:sz w:val="28"/>
        </w:rPr>
        <w:t>主办单位：浙江省人力资源和社会保障厅</w:t>
      </w:r>
    </w:p>
    <w:p w:rsidR="00051EC6" w:rsidRDefault="00051EC6">
      <w:pPr>
        <w:rPr>
          <w:rFonts w:ascii="仿宋_GB2312" w:eastAsia="仿宋_GB2312" w:hAnsi="仿宋_GB2312" w:cs="仿宋_GB2312"/>
        </w:rPr>
      </w:pPr>
    </w:p>
    <w:p w:rsidR="00051EC6" w:rsidRDefault="00051EC6" w:rsidP="002B114D">
      <w:pPr>
        <w:adjustRightInd w:val="0"/>
        <w:snapToGrid w:val="0"/>
        <w:spacing w:line="480" w:lineRule="exact"/>
        <w:ind w:firstLine="505"/>
        <w:rPr>
          <w:rFonts w:ascii="仿宋_GB2312" w:eastAsia="仿宋_GB2312" w:hAnsi="仿宋_GB2312" w:cs="仿宋_GB2312"/>
          <w:b/>
          <w:sz w:val="25"/>
        </w:rPr>
      </w:pPr>
      <w:r w:rsidRPr="00A47C7E">
        <w:rPr>
          <w:rFonts w:ascii="仿宋_GB2312" w:eastAsia="仿宋_GB2312" w:hAnsi="仿宋_GB2312" w:cs="仿宋_GB2312"/>
          <w:b/>
          <w:sz w:val="25"/>
        </w:rPr>
        <w:t>201</w:t>
      </w:r>
      <w:r>
        <w:rPr>
          <w:rFonts w:ascii="仿宋_GB2312" w:eastAsia="仿宋_GB2312" w:hAnsi="仿宋_GB2312" w:cs="仿宋_GB2312"/>
          <w:b/>
          <w:sz w:val="25"/>
        </w:rPr>
        <w:t>7</w:t>
      </w:r>
      <w:r w:rsidRPr="00A47C7E">
        <w:rPr>
          <w:rFonts w:ascii="仿宋_GB2312" w:eastAsia="仿宋_GB2312" w:hAnsi="仿宋_GB2312" w:cs="仿宋_GB2312" w:hint="eastAsia"/>
          <w:b/>
          <w:sz w:val="25"/>
        </w:rPr>
        <w:t>年浙江</w:t>
      </w:r>
      <w:r w:rsidRPr="00A47C7E">
        <w:rPr>
          <w:rFonts w:ascii="仿宋_GB2312" w:eastAsia="仿宋_GB2312" w:hAnsi="仿宋_GB2312" w:cs="仿宋_GB2312"/>
          <w:b/>
          <w:sz w:val="25"/>
        </w:rPr>
        <w:t>-</w:t>
      </w:r>
      <w:r w:rsidRPr="00A47C7E">
        <w:rPr>
          <w:rFonts w:ascii="仿宋_GB2312" w:eastAsia="仿宋_GB2312" w:hAnsi="仿宋_GB2312" w:cs="仿宋_GB2312" w:hint="eastAsia"/>
          <w:b/>
          <w:sz w:val="25"/>
        </w:rPr>
        <w:t>成都人才招聘大会</w:t>
      </w:r>
    </w:p>
    <w:p w:rsidR="00051EC6" w:rsidRDefault="00051EC6" w:rsidP="002B114D">
      <w:pPr>
        <w:adjustRightInd w:val="0"/>
        <w:snapToGrid w:val="0"/>
        <w:spacing w:line="480" w:lineRule="exact"/>
        <w:ind w:firstLine="505"/>
        <w:rPr>
          <w:rFonts w:ascii="仿宋_GB2312" w:eastAsia="仿宋_GB2312" w:hAnsi="仿宋_GB2312" w:cs="仿宋_GB2312"/>
          <w:b/>
          <w:sz w:val="25"/>
        </w:rPr>
      </w:pPr>
      <w:r w:rsidRPr="00A47C7E">
        <w:rPr>
          <w:rFonts w:ascii="仿宋_GB2312" w:eastAsia="仿宋_GB2312" w:hAnsi="仿宋_GB2312" w:cs="仿宋_GB2312" w:hint="eastAsia"/>
          <w:b/>
          <w:sz w:val="25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4"/>
          <w:attr w:name="Year" w:val="2017"/>
        </w:smartTagPr>
        <w:r w:rsidRPr="00A47C7E">
          <w:rPr>
            <w:rFonts w:ascii="仿宋_GB2312" w:eastAsia="仿宋_GB2312" w:hAnsi="仿宋_GB2312" w:cs="仿宋_GB2312"/>
            <w:b/>
            <w:sz w:val="25"/>
          </w:rPr>
          <w:t>201</w:t>
        </w:r>
        <w:r>
          <w:rPr>
            <w:rFonts w:ascii="仿宋_GB2312" w:eastAsia="仿宋_GB2312" w:hAnsi="仿宋_GB2312" w:cs="仿宋_GB2312"/>
            <w:b/>
            <w:sz w:val="25"/>
          </w:rPr>
          <w:t>7</w:t>
        </w:r>
        <w:r w:rsidRPr="00A47C7E">
          <w:rPr>
            <w:rFonts w:ascii="仿宋_GB2312" w:eastAsia="仿宋_GB2312" w:hAnsi="仿宋_GB2312" w:cs="仿宋_GB2312" w:hint="eastAsia"/>
            <w:b/>
            <w:sz w:val="25"/>
          </w:rPr>
          <w:t>年</w:t>
        </w:r>
        <w:r w:rsidRPr="00A47C7E">
          <w:rPr>
            <w:rFonts w:ascii="仿宋_GB2312" w:eastAsia="仿宋_GB2312" w:hAnsi="仿宋_GB2312" w:cs="仿宋_GB2312"/>
            <w:b/>
            <w:sz w:val="25"/>
          </w:rPr>
          <w:t>4</w:t>
        </w:r>
        <w:r w:rsidRPr="00A47C7E">
          <w:rPr>
            <w:rFonts w:ascii="仿宋_GB2312" w:eastAsia="仿宋_GB2312" w:hAnsi="仿宋_GB2312" w:cs="仿宋_GB2312" w:hint="eastAsia"/>
            <w:b/>
            <w:sz w:val="25"/>
          </w:rPr>
          <w:t>月</w:t>
        </w:r>
        <w:r>
          <w:rPr>
            <w:rFonts w:ascii="仿宋_GB2312" w:eastAsia="仿宋_GB2312" w:hAnsi="仿宋_GB2312" w:cs="仿宋_GB2312"/>
            <w:b/>
            <w:sz w:val="25"/>
          </w:rPr>
          <w:t>22</w:t>
        </w:r>
        <w:r w:rsidRPr="00A47C7E">
          <w:rPr>
            <w:rFonts w:ascii="仿宋_GB2312" w:eastAsia="仿宋_GB2312" w:hAnsi="仿宋_GB2312" w:cs="仿宋_GB2312" w:hint="eastAsia"/>
            <w:b/>
            <w:sz w:val="25"/>
          </w:rPr>
          <w:t>日</w:t>
        </w:r>
      </w:smartTag>
      <w:r w:rsidRPr="00A47C7E">
        <w:rPr>
          <w:rFonts w:ascii="仿宋_GB2312" w:eastAsia="仿宋_GB2312" w:hAnsi="仿宋_GB2312" w:cs="仿宋_GB2312" w:hint="eastAsia"/>
          <w:b/>
          <w:sz w:val="25"/>
        </w:rPr>
        <w:t>（星期</w:t>
      </w:r>
      <w:r>
        <w:rPr>
          <w:rFonts w:ascii="仿宋_GB2312" w:eastAsia="仿宋_GB2312" w:hAnsi="仿宋_GB2312" w:cs="仿宋_GB2312" w:hint="eastAsia"/>
          <w:b/>
          <w:sz w:val="25"/>
        </w:rPr>
        <w:t>六</w:t>
      </w:r>
      <w:r>
        <w:rPr>
          <w:rFonts w:ascii="仿宋_GB2312" w:eastAsia="仿宋_GB2312" w:hAnsi="仿宋_GB2312" w:cs="仿宋_GB2312"/>
          <w:b/>
          <w:sz w:val="25"/>
        </w:rPr>
        <w:t xml:space="preserve"> 08:30-13:00</w:t>
      </w:r>
      <w:r w:rsidRPr="00A47C7E">
        <w:rPr>
          <w:rFonts w:ascii="仿宋_GB2312" w:eastAsia="仿宋_GB2312" w:hAnsi="仿宋_GB2312" w:cs="仿宋_GB2312" w:hint="eastAsia"/>
          <w:b/>
          <w:sz w:val="25"/>
        </w:rPr>
        <w:t>）</w:t>
      </w:r>
    </w:p>
    <w:p w:rsidR="00051EC6" w:rsidRPr="00A47C7E" w:rsidRDefault="00051EC6" w:rsidP="002B114D">
      <w:pPr>
        <w:adjustRightInd w:val="0"/>
        <w:snapToGrid w:val="0"/>
        <w:spacing w:line="480" w:lineRule="exact"/>
        <w:ind w:firstLine="505"/>
        <w:rPr>
          <w:rFonts w:ascii="仿宋_GB2312" w:eastAsia="仿宋_GB2312" w:hAnsi="仿宋_GB2312" w:cs="仿宋_GB2312"/>
          <w:b/>
          <w:sz w:val="25"/>
        </w:rPr>
      </w:pPr>
      <w:r w:rsidRPr="00A47C7E">
        <w:rPr>
          <w:rFonts w:ascii="仿宋_GB2312" w:eastAsia="仿宋_GB2312" w:hAnsi="仿宋_GB2312" w:cs="仿宋_GB2312" w:hint="eastAsia"/>
          <w:b/>
          <w:sz w:val="25"/>
        </w:rPr>
        <w:t>地点：四川大学望江校区体育馆（成都市一环路南一段</w:t>
      </w:r>
      <w:r w:rsidRPr="00A47C7E">
        <w:rPr>
          <w:rFonts w:ascii="仿宋_GB2312" w:eastAsia="仿宋_GB2312" w:hAnsi="仿宋_GB2312" w:cs="仿宋_GB2312"/>
          <w:b/>
          <w:sz w:val="25"/>
        </w:rPr>
        <w:t>24</w:t>
      </w:r>
      <w:r w:rsidRPr="00A47C7E">
        <w:rPr>
          <w:rFonts w:ascii="仿宋_GB2312" w:eastAsia="仿宋_GB2312" w:hAnsi="仿宋_GB2312" w:cs="仿宋_GB2312" w:hint="eastAsia"/>
          <w:b/>
          <w:sz w:val="25"/>
        </w:rPr>
        <w:t>号）</w:t>
      </w:r>
    </w:p>
    <w:p w:rsidR="00051EC6" w:rsidRPr="003002BC" w:rsidRDefault="00051EC6" w:rsidP="003002BC">
      <w:pPr>
        <w:adjustRightInd w:val="0"/>
        <w:snapToGrid w:val="0"/>
        <w:spacing w:line="480" w:lineRule="exact"/>
        <w:ind w:firstLine="505"/>
        <w:rPr>
          <w:rFonts w:ascii="仿宋_GB2312" w:eastAsia="仿宋_GB2312" w:hAnsi="仿宋_GB2312" w:cs="仿宋_GB2312"/>
          <w:b/>
          <w:sz w:val="25"/>
        </w:rPr>
      </w:pPr>
      <w:r w:rsidRPr="005276A6">
        <w:rPr>
          <w:rFonts w:ascii="仿宋_GB2312" w:eastAsia="仿宋_GB2312" w:hAnsi="仿宋_GB2312" w:cs="仿宋_GB2312" w:hint="eastAsia"/>
          <w:b/>
          <w:sz w:val="25"/>
        </w:rPr>
        <w:t>规模：</w:t>
      </w:r>
      <w:r w:rsidRPr="003002BC">
        <w:rPr>
          <w:rFonts w:ascii="仿宋_GB2312" w:eastAsia="仿宋_GB2312" w:hAnsi="仿宋_GB2312" w:cs="仿宋_GB2312" w:hint="eastAsia"/>
          <w:sz w:val="25"/>
        </w:rPr>
        <w:t>全省</w:t>
      </w:r>
      <w:r w:rsidRPr="003002BC">
        <w:rPr>
          <w:rFonts w:ascii="仿宋_GB2312" w:eastAsia="仿宋_GB2312" w:hAnsi="仿宋_GB2312" w:cs="仿宋_GB2312"/>
          <w:sz w:val="25"/>
        </w:rPr>
        <w:t>11</w:t>
      </w:r>
      <w:r w:rsidRPr="003002BC">
        <w:rPr>
          <w:rFonts w:ascii="仿宋_GB2312" w:eastAsia="仿宋_GB2312" w:hAnsi="仿宋_GB2312" w:cs="仿宋_GB2312" w:hint="eastAsia"/>
          <w:sz w:val="25"/>
        </w:rPr>
        <w:t>个地市组团，</w:t>
      </w:r>
      <w:r w:rsidRPr="003002BC">
        <w:rPr>
          <w:rFonts w:ascii="仿宋_GB2312" w:eastAsia="仿宋_GB2312" w:hAnsi="仿宋_GB2312" w:cs="仿宋_GB2312"/>
          <w:sz w:val="25"/>
        </w:rPr>
        <w:t>230</w:t>
      </w:r>
      <w:r w:rsidRPr="003002BC">
        <w:rPr>
          <w:rFonts w:ascii="仿宋_GB2312" w:eastAsia="仿宋_GB2312" w:hAnsi="仿宋_GB2312" w:cs="仿宋_GB2312" w:hint="eastAsia"/>
          <w:sz w:val="25"/>
        </w:rPr>
        <w:t>家单位到场，提供</w:t>
      </w:r>
      <w:r w:rsidRPr="003002BC">
        <w:rPr>
          <w:rFonts w:ascii="仿宋_GB2312" w:eastAsia="仿宋_GB2312" w:hAnsi="仿宋_GB2312" w:cs="仿宋_GB2312"/>
          <w:sz w:val="25"/>
        </w:rPr>
        <w:t>6000</w:t>
      </w:r>
      <w:r w:rsidRPr="003002BC">
        <w:rPr>
          <w:rFonts w:ascii="仿宋_GB2312" w:eastAsia="仿宋_GB2312" w:hAnsi="仿宋_GB2312" w:cs="仿宋_GB2312" w:hint="eastAsia"/>
          <w:sz w:val="25"/>
        </w:rPr>
        <w:t>余个岗位（其中</w:t>
      </w:r>
      <w:r>
        <w:rPr>
          <w:rFonts w:ascii="仿宋_GB2312" w:eastAsia="仿宋_GB2312" w:hAnsi="仿宋_GB2312" w:cs="仿宋_GB2312" w:hint="eastAsia"/>
          <w:sz w:val="25"/>
        </w:rPr>
        <w:t>，</w:t>
      </w:r>
      <w:r w:rsidRPr="003002BC">
        <w:rPr>
          <w:rFonts w:ascii="仿宋_GB2312" w:eastAsia="仿宋_GB2312" w:hAnsi="仿宋_GB2312" w:cs="仿宋_GB2312" w:hint="eastAsia"/>
          <w:sz w:val="25"/>
        </w:rPr>
        <w:t>事业单位</w:t>
      </w:r>
      <w:r w:rsidRPr="003002BC">
        <w:rPr>
          <w:rFonts w:ascii="仿宋_GB2312" w:eastAsia="仿宋_GB2312" w:hAnsi="仿宋_GB2312" w:cs="仿宋_GB2312"/>
          <w:sz w:val="25"/>
        </w:rPr>
        <w:t>54</w:t>
      </w:r>
      <w:r w:rsidRPr="003002BC">
        <w:rPr>
          <w:rFonts w:ascii="仿宋_GB2312" w:eastAsia="仿宋_GB2312" w:hAnsi="仿宋_GB2312" w:cs="仿宋_GB2312" w:hint="eastAsia"/>
          <w:sz w:val="25"/>
        </w:rPr>
        <w:t>家，国企</w:t>
      </w:r>
      <w:r w:rsidRPr="003002BC">
        <w:rPr>
          <w:rFonts w:ascii="仿宋_GB2312" w:eastAsia="仿宋_GB2312" w:hAnsi="仿宋_GB2312" w:cs="仿宋_GB2312"/>
          <w:sz w:val="25"/>
        </w:rPr>
        <w:t>41</w:t>
      </w:r>
      <w:r w:rsidRPr="003002BC">
        <w:rPr>
          <w:rFonts w:ascii="仿宋_GB2312" w:eastAsia="仿宋_GB2312" w:hAnsi="仿宋_GB2312" w:cs="仿宋_GB2312" w:hint="eastAsia"/>
          <w:sz w:val="25"/>
        </w:rPr>
        <w:t>家，上市公司</w:t>
      </w:r>
      <w:r w:rsidRPr="003002BC">
        <w:rPr>
          <w:rFonts w:ascii="仿宋_GB2312" w:eastAsia="仿宋_GB2312" w:hAnsi="仿宋_GB2312" w:cs="仿宋_GB2312"/>
          <w:sz w:val="25"/>
        </w:rPr>
        <w:t>38</w:t>
      </w:r>
      <w:r w:rsidRPr="003002BC">
        <w:rPr>
          <w:rFonts w:ascii="仿宋_GB2312" w:eastAsia="仿宋_GB2312" w:hAnsi="仿宋_GB2312" w:cs="仿宋_GB2312" w:hint="eastAsia"/>
          <w:sz w:val="25"/>
        </w:rPr>
        <w:t>家，世界</w:t>
      </w:r>
      <w:r w:rsidRPr="003002BC">
        <w:rPr>
          <w:rFonts w:ascii="仿宋_GB2312" w:eastAsia="仿宋_GB2312" w:hAnsi="仿宋_GB2312" w:cs="仿宋_GB2312"/>
          <w:sz w:val="25"/>
        </w:rPr>
        <w:t>500</w:t>
      </w:r>
      <w:r w:rsidRPr="003002BC">
        <w:rPr>
          <w:rFonts w:ascii="仿宋_GB2312" w:eastAsia="仿宋_GB2312" w:hAnsi="仿宋_GB2312" w:cs="仿宋_GB2312" w:hint="eastAsia"/>
          <w:sz w:val="25"/>
        </w:rPr>
        <w:t>强</w:t>
      </w:r>
      <w:r w:rsidRPr="003002BC">
        <w:rPr>
          <w:rFonts w:ascii="仿宋_GB2312" w:eastAsia="仿宋_GB2312" w:hAnsi="仿宋_GB2312" w:cs="仿宋_GB2312"/>
          <w:sz w:val="25"/>
        </w:rPr>
        <w:t>2</w:t>
      </w:r>
      <w:r w:rsidRPr="003002BC">
        <w:rPr>
          <w:rFonts w:ascii="仿宋_GB2312" w:eastAsia="仿宋_GB2312" w:hAnsi="仿宋_GB2312" w:cs="仿宋_GB2312" w:hint="eastAsia"/>
          <w:sz w:val="25"/>
        </w:rPr>
        <w:t>家，中国</w:t>
      </w:r>
      <w:r w:rsidRPr="003002BC">
        <w:rPr>
          <w:rFonts w:ascii="仿宋_GB2312" w:eastAsia="仿宋_GB2312" w:hAnsi="仿宋_GB2312" w:cs="仿宋_GB2312"/>
          <w:sz w:val="25"/>
        </w:rPr>
        <w:t>500</w:t>
      </w:r>
      <w:r w:rsidRPr="003002BC">
        <w:rPr>
          <w:rFonts w:ascii="仿宋_GB2312" w:eastAsia="仿宋_GB2312" w:hAnsi="仿宋_GB2312" w:cs="仿宋_GB2312" w:hint="eastAsia"/>
          <w:sz w:val="25"/>
        </w:rPr>
        <w:t>强</w:t>
      </w:r>
      <w:r w:rsidRPr="003002BC">
        <w:rPr>
          <w:rFonts w:ascii="仿宋_GB2312" w:eastAsia="仿宋_GB2312" w:hAnsi="仿宋_GB2312" w:cs="仿宋_GB2312"/>
          <w:sz w:val="25"/>
        </w:rPr>
        <w:t>12</w:t>
      </w:r>
      <w:r w:rsidRPr="003002BC">
        <w:rPr>
          <w:rFonts w:ascii="仿宋_GB2312" w:eastAsia="仿宋_GB2312" w:hAnsi="仿宋_GB2312" w:cs="仿宋_GB2312" w:hint="eastAsia"/>
          <w:sz w:val="25"/>
        </w:rPr>
        <w:t>家</w:t>
      </w:r>
      <w:r>
        <w:rPr>
          <w:rFonts w:ascii="仿宋_GB2312" w:eastAsia="仿宋_GB2312" w:hAnsi="仿宋_GB2312" w:cs="仿宋_GB2312" w:hint="eastAsia"/>
          <w:sz w:val="25"/>
        </w:rPr>
        <w:t>）</w:t>
      </w:r>
      <w:r w:rsidRPr="003002BC">
        <w:rPr>
          <w:rFonts w:ascii="仿宋_GB2312" w:eastAsia="仿宋_GB2312" w:hAnsi="仿宋_GB2312" w:cs="仿宋_GB2312" w:hint="eastAsia"/>
          <w:sz w:val="25"/>
        </w:rPr>
        <w:t>。</w:t>
      </w:r>
    </w:p>
    <w:p w:rsidR="00051EC6" w:rsidRPr="004875AE" w:rsidRDefault="00051EC6" w:rsidP="003002BC">
      <w:pPr>
        <w:ind w:firstLineChars="200" w:firstLine="500"/>
        <w:rPr>
          <w:rFonts w:ascii="仿宋_GB2312" w:eastAsia="仿宋_GB2312" w:hAnsi="仿宋_GB2312" w:cs="仿宋_GB2312"/>
          <w:sz w:val="25"/>
        </w:rPr>
      </w:pPr>
      <w:r>
        <w:rPr>
          <w:rFonts w:ascii="仿宋_GB2312" w:eastAsia="仿宋_GB2312" w:hAnsi="仿宋_GB2312" w:cs="仿宋_GB2312" w:hint="eastAsia"/>
          <w:sz w:val="25"/>
        </w:rPr>
        <w:t>部分参会单位：</w:t>
      </w:r>
      <w:r w:rsidRPr="00C73531">
        <w:rPr>
          <w:rFonts w:ascii="仿宋_GB2312" w:eastAsia="仿宋_GB2312" w:hAnsi="仿宋_GB2312" w:cs="仿宋_GB2312" w:hint="eastAsia"/>
          <w:sz w:val="25"/>
        </w:rPr>
        <w:t>浙江工业大学、杭州电子科技大学、</w:t>
      </w:r>
      <w:r w:rsidRPr="002343D9">
        <w:rPr>
          <w:rFonts w:ascii="仿宋_GB2312" w:eastAsia="仿宋_GB2312" w:hAnsi="仿宋_GB2312" w:cs="仿宋_GB2312" w:hint="eastAsia"/>
          <w:sz w:val="25"/>
        </w:rPr>
        <w:t>宁波大学、</w:t>
      </w:r>
      <w:r w:rsidRPr="00C73531">
        <w:rPr>
          <w:rFonts w:ascii="仿宋_GB2312" w:eastAsia="仿宋_GB2312" w:hAnsi="仿宋_GB2312" w:cs="仿宋_GB2312" w:hint="eastAsia"/>
          <w:sz w:val="25"/>
        </w:rPr>
        <w:t>浙江东方集团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浙江省能源集团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巨化集团、</w:t>
      </w:r>
      <w:r w:rsidRPr="00C73531">
        <w:rPr>
          <w:rFonts w:ascii="仿宋_GB2312" w:eastAsia="仿宋_GB2312" w:hAnsi="仿宋_GB2312" w:cs="仿宋_GB2312" w:hint="eastAsia"/>
          <w:sz w:val="25"/>
        </w:rPr>
        <w:t>浙江省一建建设集团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浙江沪杭甬高速公路股份有限公司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浙江省经济建设投资有限公司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浙江省交通投资集团实业发展有限公司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浙江交工集团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C73531">
        <w:rPr>
          <w:rFonts w:ascii="仿宋_GB2312" w:eastAsia="仿宋_GB2312" w:hAnsi="仿宋_GB2312" w:cs="仿宋_GB2312" w:hint="eastAsia"/>
          <w:sz w:val="25"/>
        </w:rPr>
        <w:t>浙江省旅游集团、浙江省经济信息中心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中国电子科技集团公司第三十六研究所、宁波中国科学院信息技术应用研究院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浙江物产化工集团宁波有限公司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天能电池集团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中化蓝天上虞基地</w:t>
      </w:r>
      <w:r>
        <w:rPr>
          <w:rFonts w:ascii="仿宋_GB2312" w:eastAsia="仿宋_GB2312" w:hAnsi="仿宋_GB2312" w:cs="仿宋_GB2312" w:hint="eastAsia"/>
          <w:sz w:val="25"/>
        </w:rPr>
        <w:t>、</w:t>
      </w:r>
      <w:r w:rsidRPr="002343D9">
        <w:rPr>
          <w:rFonts w:ascii="仿宋_GB2312" w:eastAsia="仿宋_GB2312" w:hAnsi="仿宋_GB2312" w:cs="仿宋_GB2312" w:hint="eastAsia"/>
          <w:sz w:val="25"/>
        </w:rPr>
        <w:t>横店集团控股有限公司</w:t>
      </w:r>
      <w:r>
        <w:rPr>
          <w:rFonts w:ascii="仿宋_GB2312" w:eastAsia="仿宋_GB2312" w:hAnsi="仿宋_GB2312" w:cs="仿宋_GB2312" w:hint="eastAsia"/>
          <w:sz w:val="25"/>
        </w:rPr>
        <w:t>等。</w:t>
      </w:r>
    </w:p>
    <w:p w:rsidR="00051EC6" w:rsidRDefault="00051EC6">
      <w:pPr>
        <w:rPr>
          <w:rFonts w:ascii="仿宋_GB2312" w:eastAsia="仿宋_GB2312" w:hAnsi="仿宋_GB2312" w:cs="仿宋_GB2312"/>
          <w:sz w:val="25"/>
        </w:rPr>
      </w:pPr>
    </w:p>
    <w:p w:rsidR="00051EC6" w:rsidRDefault="00051EC6" w:rsidP="000C52E4">
      <w:pPr>
        <w:adjustRightInd w:val="0"/>
        <w:snapToGrid w:val="0"/>
        <w:spacing w:line="400" w:lineRule="exact"/>
        <w:rPr>
          <w:rFonts w:ascii="仿宋_GB2312" w:eastAsia="仿宋_GB2312" w:hAnsi="仿宋_GB2312" w:cs="仿宋_GB2312"/>
          <w:b/>
          <w:sz w:val="25"/>
        </w:rPr>
      </w:pPr>
      <w:r>
        <w:rPr>
          <w:rFonts w:ascii="仿宋_GB2312" w:eastAsia="仿宋_GB2312" w:hAnsi="仿宋_GB2312" w:cs="仿宋_GB2312" w:hint="eastAsia"/>
          <w:b/>
          <w:sz w:val="25"/>
        </w:rPr>
        <w:t>详情可登陆浙江人才网（</w:t>
      </w:r>
      <w:r>
        <w:rPr>
          <w:rFonts w:ascii="仿宋_GB2312" w:eastAsia="仿宋_GB2312" w:hAnsi="仿宋_GB2312" w:cs="仿宋_GB2312"/>
          <w:b/>
          <w:color w:val="0000FF"/>
          <w:sz w:val="25"/>
          <w:u w:val="single"/>
        </w:rPr>
        <w:t>www.zjrc.com</w:t>
      </w:r>
      <w:r>
        <w:rPr>
          <w:rFonts w:ascii="仿宋_GB2312" w:eastAsia="仿宋_GB2312" w:hAnsi="仿宋_GB2312" w:cs="仿宋_GB2312" w:hint="eastAsia"/>
          <w:b/>
          <w:sz w:val="25"/>
        </w:rPr>
        <w:t>），或关注新浪微博“浙江引才”</w:t>
      </w:r>
    </w:p>
    <w:p w:rsidR="00051EC6" w:rsidRDefault="00051EC6" w:rsidP="000C52E4">
      <w:pPr>
        <w:adjustRightInd w:val="0"/>
        <w:snapToGrid w:val="0"/>
        <w:spacing w:line="400" w:lineRule="exact"/>
        <w:rPr>
          <w:rFonts w:ascii="仿宋_GB2312" w:eastAsia="仿宋_GB2312" w:hAnsi="仿宋_GB2312" w:cs="仿宋_GB2312"/>
          <w:b/>
          <w:sz w:val="25"/>
        </w:rPr>
      </w:pPr>
      <w:r>
        <w:rPr>
          <w:rFonts w:ascii="仿宋_GB2312" w:eastAsia="仿宋_GB2312" w:hAnsi="仿宋_GB2312" w:cs="仿宋_GB2312" w:hint="eastAsia"/>
          <w:b/>
          <w:sz w:val="25"/>
        </w:rPr>
        <w:t>咨询电话：</w:t>
      </w:r>
      <w:r>
        <w:rPr>
          <w:rFonts w:ascii="仿宋_GB2312" w:eastAsia="仿宋_GB2312" w:hAnsi="仿宋_GB2312" w:cs="仿宋_GB2312"/>
          <w:b/>
          <w:sz w:val="25"/>
        </w:rPr>
        <w:t>0571-88397122</w:t>
      </w:r>
    </w:p>
    <w:p w:rsidR="00051EC6" w:rsidRDefault="00051EC6" w:rsidP="002B114D">
      <w:pPr>
        <w:adjustRightInd w:val="0"/>
        <w:snapToGrid w:val="0"/>
        <w:spacing w:line="400" w:lineRule="exact"/>
        <w:ind w:firstLine="502"/>
        <w:jc w:val="left"/>
        <w:rPr>
          <w:rFonts w:ascii="仿宋_GB2312" w:eastAsia="仿宋_GB2312" w:hAnsi="仿宋_GB2312" w:cs="仿宋_GB2312"/>
          <w:b/>
          <w:sz w:val="25"/>
        </w:rPr>
      </w:pPr>
    </w:p>
    <w:p w:rsidR="00051EC6" w:rsidRDefault="00051EC6" w:rsidP="002B114D">
      <w:pPr>
        <w:adjustRightInd w:val="0"/>
        <w:snapToGrid w:val="0"/>
        <w:spacing w:line="400" w:lineRule="exact"/>
        <w:jc w:val="left"/>
        <w:rPr>
          <w:rFonts w:ascii="仿宋_GB2312" w:eastAsia="仿宋_GB2312" w:hAnsi="仿宋_GB2312" w:cs="仿宋_GB2312"/>
          <w:b/>
        </w:rPr>
      </w:pPr>
      <w:r>
        <w:rPr>
          <w:rFonts w:ascii="仿宋_GB2312" w:eastAsia="仿宋_GB2312" w:hAnsi="仿宋_GB2312" w:cs="仿宋_GB2312" w:hint="eastAsia"/>
          <w:b/>
          <w:sz w:val="25"/>
        </w:rPr>
        <w:t>“发展的浙江重人才、开放的浙江盼人才”，热忱欢迎八方英才来浙江发挥所长，一展抱负！</w:t>
      </w:r>
    </w:p>
    <w:sectPr w:rsidR="00051EC6" w:rsidSect="002B114D">
      <w:pgSz w:w="11906" w:h="16838"/>
      <w:pgMar w:top="1440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C6" w:rsidRDefault="00051EC6" w:rsidP="002A2A14">
      <w:r>
        <w:separator/>
      </w:r>
    </w:p>
  </w:endnote>
  <w:endnote w:type="continuationSeparator" w:id="0">
    <w:p w:rsidR="00051EC6" w:rsidRDefault="00051EC6" w:rsidP="002A2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C6" w:rsidRDefault="00051EC6" w:rsidP="002A2A14">
      <w:r>
        <w:separator/>
      </w:r>
    </w:p>
  </w:footnote>
  <w:footnote w:type="continuationSeparator" w:id="0">
    <w:p w:rsidR="00051EC6" w:rsidRDefault="00051EC6" w:rsidP="002A2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21DBC"/>
    <w:multiLevelType w:val="hybridMultilevel"/>
    <w:tmpl w:val="AEAA5A1A"/>
    <w:lvl w:ilvl="0" w:tplc="AB2C42D8">
      <w:start w:val="1"/>
      <w:numFmt w:val="decimal"/>
      <w:lvlText w:val="%1、"/>
      <w:lvlJc w:val="left"/>
      <w:pPr>
        <w:ind w:left="360" w:hanging="360"/>
      </w:pPr>
      <w:rPr>
        <w:rFonts w:ascii="Calibri" w:hAnsi="Calibri" w:cs="Times New Roman" w:hint="default"/>
        <w:b w:val="0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18D"/>
    <w:rsid w:val="00001E0A"/>
    <w:rsid w:val="000205ED"/>
    <w:rsid w:val="00051EC6"/>
    <w:rsid w:val="00075BF9"/>
    <w:rsid w:val="00084614"/>
    <w:rsid w:val="000B2987"/>
    <w:rsid w:val="000B5C9B"/>
    <w:rsid w:val="000C52E4"/>
    <w:rsid w:val="000E2408"/>
    <w:rsid w:val="00105356"/>
    <w:rsid w:val="001336B7"/>
    <w:rsid w:val="00136FD2"/>
    <w:rsid w:val="001430D9"/>
    <w:rsid w:val="00161DC7"/>
    <w:rsid w:val="0017141D"/>
    <w:rsid w:val="001836F7"/>
    <w:rsid w:val="001B09AB"/>
    <w:rsid w:val="001C065D"/>
    <w:rsid w:val="001D5139"/>
    <w:rsid w:val="001E6B66"/>
    <w:rsid w:val="00233CB4"/>
    <w:rsid w:val="002343D9"/>
    <w:rsid w:val="00280A29"/>
    <w:rsid w:val="002A2A14"/>
    <w:rsid w:val="002B114D"/>
    <w:rsid w:val="002B3B7B"/>
    <w:rsid w:val="002B65B8"/>
    <w:rsid w:val="003002BC"/>
    <w:rsid w:val="003122DA"/>
    <w:rsid w:val="003125E8"/>
    <w:rsid w:val="00343A2B"/>
    <w:rsid w:val="00366DA5"/>
    <w:rsid w:val="003A17B1"/>
    <w:rsid w:val="003C0041"/>
    <w:rsid w:val="003D53E7"/>
    <w:rsid w:val="00423BC1"/>
    <w:rsid w:val="00430EA8"/>
    <w:rsid w:val="004372D9"/>
    <w:rsid w:val="00455F83"/>
    <w:rsid w:val="004769D7"/>
    <w:rsid w:val="00476AAC"/>
    <w:rsid w:val="004875AE"/>
    <w:rsid w:val="004A3E7D"/>
    <w:rsid w:val="004D48F1"/>
    <w:rsid w:val="004E3C2E"/>
    <w:rsid w:val="004F025F"/>
    <w:rsid w:val="005023A2"/>
    <w:rsid w:val="0051286A"/>
    <w:rsid w:val="00523745"/>
    <w:rsid w:val="00525DD7"/>
    <w:rsid w:val="005276A6"/>
    <w:rsid w:val="0053390B"/>
    <w:rsid w:val="00537A1C"/>
    <w:rsid w:val="00561AC4"/>
    <w:rsid w:val="00567390"/>
    <w:rsid w:val="00573DD4"/>
    <w:rsid w:val="006141CE"/>
    <w:rsid w:val="006274C1"/>
    <w:rsid w:val="00633B17"/>
    <w:rsid w:val="00643920"/>
    <w:rsid w:val="00650CDA"/>
    <w:rsid w:val="006654F6"/>
    <w:rsid w:val="00673E6B"/>
    <w:rsid w:val="00693996"/>
    <w:rsid w:val="006C4811"/>
    <w:rsid w:val="006D65BB"/>
    <w:rsid w:val="006F4904"/>
    <w:rsid w:val="007020EF"/>
    <w:rsid w:val="0073096A"/>
    <w:rsid w:val="00730A7E"/>
    <w:rsid w:val="007478D0"/>
    <w:rsid w:val="00753A4D"/>
    <w:rsid w:val="0077392E"/>
    <w:rsid w:val="007B255C"/>
    <w:rsid w:val="007B29CC"/>
    <w:rsid w:val="007D1439"/>
    <w:rsid w:val="007E5B06"/>
    <w:rsid w:val="007F3FD8"/>
    <w:rsid w:val="00876D56"/>
    <w:rsid w:val="008A6291"/>
    <w:rsid w:val="008B218D"/>
    <w:rsid w:val="00911369"/>
    <w:rsid w:val="00945F57"/>
    <w:rsid w:val="00955B2A"/>
    <w:rsid w:val="009964C3"/>
    <w:rsid w:val="009B3FEC"/>
    <w:rsid w:val="00A124B3"/>
    <w:rsid w:val="00A22D0A"/>
    <w:rsid w:val="00A30CF5"/>
    <w:rsid w:val="00A32740"/>
    <w:rsid w:val="00A332F2"/>
    <w:rsid w:val="00A47C7E"/>
    <w:rsid w:val="00A73825"/>
    <w:rsid w:val="00B06F2A"/>
    <w:rsid w:val="00B265D0"/>
    <w:rsid w:val="00B30356"/>
    <w:rsid w:val="00B3748B"/>
    <w:rsid w:val="00B66F34"/>
    <w:rsid w:val="00C34C3C"/>
    <w:rsid w:val="00C44B5D"/>
    <w:rsid w:val="00C52FB8"/>
    <w:rsid w:val="00C66073"/>
    <w:rsid w:val="00C7330B"/>
    <w:rsid w:val="00C73531"/>
    <w:rsid w:val="00C77104"/>
    <w:rsid w:val="00CC4234"/>
    <w:rsid w:val="00CE2F73"/>
    <w:rsid w:val="00CF2A4C"/>
    <w:rsid w:val="00CF65B5"/>
    <w:rsid w:val="00D26D4A"/>
    <w:rsid w:val="00D44D0E"/>
    <w:rsid w:val="00D4710F"/>
    <w:rsid w:val="00D55D37"/>
    <w:rsid w:val="00D92A94"/>
    <w:rsid w:val="00DA3E6E"/>
    <w:rsid w:val="00DA5621"/>
    <w:rsid w:val="00DB2236"/>
    <w:rsid w:val="00DC11A4"/>
    <w:rsid w:val="00DF130A"/>
    <w:rsid w:val="00E04702"/>
    <w:rsid w:val="00E2258E"/>
    <w:rsid w:val="00E41EA7"/>
    <w:rsid w:val="00E46F0D"/>
    <w:rsid w:val="00E505CE"/>
    <w:rsid w:val="00EA2518"/>
    <w:rsid w:val="00EB1F53"/>
    <w:rsid w:val="00EC1E7D"/>
    <w:rsid w:val="00ED4C3C"/>
    <w:rsid w:val="00ED7B68"/>
    <w:rsid w:val="00EE3BC2"/>
    <w:rsid w:val="00EF07D2"/>
    <w:rsid w:val="00F0489F"/>
    <w:rsid w:val="00F067AC"/>
    <w:rsid w:val="00F07B55"/>
    <w:rsid w:val="00F41EB2"/>
    <w:rsid w:val="00F456E0"/>
    <w:rsid w:val="00F50ECC"/>
    <w:rsid w:val="00F55624"/>
    <w:rsid w:val="00F9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90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A2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2A1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A2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2A14"/>
    <w:rPr>
      <w:rFonts w:cs="Times New Roman"/>
      <w:sz w:val="18"/>
      <w:szCs w:val="18"/>
    </w:rPr>
  </w:style>
  <w:style w:type="paragraph" w:customStyle="1" w:styleId="Char">
    <w:name w:val="Char"/>
    <w:basedOn w:val="Normal"/>
    <w:uiPriority w:val="99"/>
    <w:rsid w:val="009B3FEC"/>
    <w:rPr>
      <w:rFonts w:ascii="Tahoma" w:hAnsi="Tahoma"/>
      <w:sz w:val="24"/>
      <w:szCs w:val="20"/>
    </w:rPr>
  </w:style>
  <w:style w:type="paragraph" w:customStyle="1" w:styleId="Char1">
    <w:name w:val="Char1"/>
    <w:basedOn w:val="Normal"/>
    <w:uiPriority w:val="99"/>
    <w:rsid w:val="00161DC7"/>
    <w:rPr>
      <w:rFonts w:ascii="Tahoma" w:hAnsi="Tahoma"/>
      <w:sz w:val="24"/>
      <w:szCs w:val="20"/>
    </w:rPr>
  </w:style>
  <w:style w:type="paragraph" w:customStyle="1" w:styleId="1">
    <w:name w:val="列出段落1"/>
    <w:basedOn w:val="Normal"/>
    <w:uiPriority w:val="99"/>
    <w:rsid w:val="00161DC7"/>
    <w:pPr>
      <w:ind w:firstLineChars="200" w:firstLine="420"/>
    </w:pPr>
  </w:style>
  <w:style w:type="paragraph" w:customStyle="1" w:styleId="Char2">
    <w:name w:val="Char2"/>
    <w:basedOn w:val="Normal"/>
    <w:uiPriority w:val="99"/>
    <w:rsid w:val="002343D9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570</TotalTime>
  <Pages>1</Pages>
  <Words>77</Words>
  <Characters>442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511</cp:revision>
  <dcterms:created xsi:type="dcterms:W3CDTF">2015-11-06T08:36:00Z</dcterms:created>
  <dcterms:modified xsi:type="dcterms:W3CDTF">2017-04-14T09:38:00Z</dcterms:modified>
</cp:coreProperties>
</file>